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558" w:rsidRDefault="009D71E8" w14:paraId="2A7D54B1" w14:textId="0781B201">
      <w:pPr>
        <w:pStyle w:val="Heading1"/>
      </w:pPr>
      <w:bookmarkStart w:name="_Toc400361362" w:id="0"/>
      <w:bookmarkStart w:name="_Toc443397153" w:id="1"/>
      <w:bookmarkStart w:name="_Toc357771638" w:id="2"/>
      <w:bookmarkStart w:name="_Toc346793416" w:id="3"/>
      <w:bookmarkStart w:name="_Toc328122777" w:id="4"/>
      <w:r w:rsidR="009D71E8">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F905574" w:rsidP="18E4CB6F" w:rsidRDefault="0F905574" w14:paraId="09D63831" w14:textId="72CFCD9F">
      <w:pPr>
        <w:pStyle w:val="Heading2"/>
        <w:keepNext w:val="1"/>
        <w:spacing w:before="480" w:after="240" w:line="240" w:lineRule="auto"/>
        <w:rPr>
          <w:rFonts w:ascii="Arial" w:hAnsi="Arial" w:eastAsia="Arial" w:cs="Arial"/>
          <w:b w:val="1"/>
          <w:bCs w:val="1"/>
          <w:i w:val="0"/>
          <w:iCs w:val="0"/>
          <w:caps w:val="0"/>
          <w:smallCaps w:val="0"/>
          <w:noProof w:val="0"/>
          <w:color w:val="104F75"/>
          <w:sz w:val="24"/>
          <w:szCs w:val="24"/>
          <w:lang w:val="en-GB"/>
        </w:rPr>
      </w:pPr>
      <w:r w:rsidRPr="18E4CB6F" w:rsidR="0F905574">
        <w:rPr>
          <w:rFonts w:ascii="Arial" w:hAnsi="Arial" w:eastAsia="Arial" w:cs="Arial"/>
          <w:b w:val="0"/>
          <w:bCs w:val="0"/>
          <w:i w:val="0"/>
          <w:iCs w:val="0"/>
          <w:caps w:val="0"/>
          <w:smallCaps w:val="0"/>
          <w:noProof w:val="0"/>
          <w:color w:val="104F75"/>
          <w:sz w:val="24"/>
          <w:szCs w:val="24"/>
          <w:lang w:val="en-GB"/>
        </w:rPr>
        <w:t xml:space="preserve">This statement details our school’s planned use of pupil premium funding for the 2024/25 to 2026/27 academic years to help improve the attainment of our disadvantaged pupils. </w:t>
      </w:r>
    </w:p>
    <w:p w:rsidR="0F905574" w:rsidP="18E4CB6F" w:rsidRDefault="0F905574" w14:paraId="440AAE44" w14:textId="0AC18C95">
      <w:pPr>
        <w:pStyle w:val="Heading2"/>
        <w:keepNext w:val="1"/>
        <w:spacing w:before="240" w:after="240" w:line="240" w:lineRule="auto"/>
        <w:rPr>
          <w:rFonts w:ascii="Arial" w:hAnsi="Arial" w:eastAsia="Arial" w:cs="Arial"/>
          <w:b w:val="1"/>
          <w:bCs w:val="1"/>
          <w:i w:val="0"/>
          <w:iCs w:val="0"/>
          <w:caps w:val="0"/>
          <w:smallCaps w:val="0"/>
          <w:noProof w:val="0"/>
          <w:color w:val="104F75"/>
          <w:sz w:val="24"/>
          <w:szCs w:val="24"/>
          <w:lang w:val="en-GB"/>
        </w:rPr>
      </w:pPr>
      <w:r w:rsidRPr="18E4CB6F" w:rsidR="0F905574">
        <w:rPr>
          <w:rFonts w:ascii="Arial" w:hAnsi="Arial" w:eastAsia="Arial" w:cs="Arial"/>
          <w:b w:val="0"/>
          <w:bCs w:val="0"/>
          <w:i w:val="0"/>
          <w:iCs w:val="0"/>
          <w:caps w:val="0"/>
          <w:smallCaps w:val="0"/>
          <w:noProof w:val="0"/>
          <w:color w:val="104F75"/>
          <w:sz w:val="24"/>
          <w:szCs w:val="24"/>
          <w:lang w:val="en-GB"/>
        </w:rPr>
        <w:t>It outlines our pupil premium strategy, how we intend to spend the funding in this academic year and the effect that last year’s spending of pupil premium had within our school.</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8E4CB6F"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8E4CB6F"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1318968F" w14:textId="414030D4">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Ormiston Latimer Academy</w:t>
            </w:r>
          </w:p>
        </w:tc>
      </w:tr>
      <w:tr w:rsidR="00E66558" w:rsidTr="18E4CB6F"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2FB35299" w14:textId="20862C63">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55</w:t>
            </w:r>
          </w:p>
        </w:tc>
      </w:tr>
      <w:tr w:rsidR="00E66558" w:rsidTr="18E4CB6F"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18E4CB6F" w:rsidP="18E4CB6F" w:rsidRDefault="18E4CB6F" w14:paraId="06A2E0A5" w14:textId="55417F14">
            <w:pPr>
              <w:pStyle w:val="TableRow"/>
              <w:spacing w:before="60" w:after="60"/>
              <w:ind w:left="0"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Average 70 – 80%</w:t>
            </w:r>
          </w:p>
        </w:tc>
      </w:tr>
      <w:tr w:rsidR="00E66558" w:rsidTr="18E4CB6F"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177D500">
            <w:pPr>
              <w:pStyle w:val="TableRow"/>
            </w:pPr>
            <w:r>
              <w:rPr>
                <w:szCs w:val="22"/>
              </w:rP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3442F5BB" w14:textId="710CF934">
            <w:pPr>
              <w:pStyle w:val="TableRow"/>
              <w:spacing w:before="60" w:beforeAutospacing="off" w:after="60" w:afterAutospacing="off" w:line="259" w:lineRule="auto"/>
              <w:ind w:left="57" w:right="57"/>
              <w:jc w:val="left"/>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 xml:space="preserve">2024/25 to </w:t>
            </w:r>
          </w:p>
        </w:tc>
      </w:tr>
      <w:tr w:rsidR="00E66558" w:rsidTr="18E4CB6F"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09A1BBDF" w14:textId="0F672B81">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September 2024</w:t>
            </w:r>
          </w:p>
        </w:tc>
      </w:tr>
      <w:tr w:rsidR="00E66558" w:rsidTr="18E4CB6F"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3B76D99E" w14:textId="60166714">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July 2027</w:t>
            </w:r>
          </w:p>
        </w:tc>
      </w:tr>
      <w:tr w:rsidR="00E66558" w:rsidTr="18E4CB6F"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7864EC34" w14:textId="5FB23C16">
            <w:pPr>
              <w:pStyle w:val="TableRow"/>
              <w:spacing w:before="60" w:beforeAutospacing="off" w:after="60" w:afterAutospacing="off" w:line="259" w:lineRule="auto"/>
              <w:ind w:left="57" w:right="57"/>
              <w:jc w:val="left"/>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Dan Cundy</w:t>
            </w:r>
          </w:p>
        </w:tc>
      </w:tr>
      <w:tr w:rsidR="00E66558" w:rsidTr="18E4CB6F"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5D9DE9D0" w14:textId="0EC170F2">
            <w:pPr>
              <w:pStyle w:val="TableRow"/>
              <w:spacing w:before="60" w:beforeAutospacing="off" w:after="60" w:afterAutospacing="off" w:line="259" w:lineRule="auto"/>
              <w:ind w:left="57" w:right="57"/>
              <w:jc w:val="left"/>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Grant Monaghan</w:t>
            </w:r>
          </w:p>
        </w:tc>
      </w:tr>
      <w:tr w:rsidR="00E66558" w:rsidTr="18E4CB6F"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332AE638" w14:textId="1707686F">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Hilary Shaw</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8E4CB6F"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18E4CB6F"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54725347" w14:textId="68B5C43E">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£40,910</w:t>
            </w:r>
          </w:p>
        </w:tc>
      </w:tr>
      <w:tr w:rsidR="00E66558" w:rsidTr="18E4CB6F" w14:paraId="2A7D54DC"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A" w14:textId="77777777">
            <w:pPr>
              <w:pStyle w:val="TableRow"/>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4E1339FE" w14:textId="01071F3C">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£0</w:t>
            </w:r>
          </w:p>
        </w:tc>
      </w:tr>
      <w:tr w:rsidR="00E66558" w:rsidTr="18E4CB6F"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618A2AAC" w14:textId="66F0D7EC">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£0</w:t>
            </w:r>
          </w:p>
        </w:tc>
      </w:tr>
      <w:tr w:rsidR="00E66558" w:rsidTr="18E4CB6F"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E4CB6F" w:rsidP="18E4CB6F" w:rsidRDefault="18E4CB6F" w14:paraId="79EC5236" w14:textId="33FA0F8A">
            <w:pPr>
              <w:pStyle w:val="TableRow"/>
              <w:spacing w:before="60" w:after="60"/>
              <w:ind w:left="57" w:right="57"/>
              <w:rPr>
                <w:rFonts w:ascii="Arial" w:hAnsi="Arial" w:eastAsia="Arial" w:cs="Arial"/>
                <w:b w:val="0"/>
                <w:bCs w:val="0"/>
                <w:i w:val="0"/>
                <w:iCs w:val="0"/>
                <w:caps w:val="0"/>
                <w:smallCaps w:val="0"/>
                <w:color w:val="0D0D0D" w:themeColor="text1" w:themeTint="F2" w:themeShade="FF"/>
                <w:sz w:val="24"/>
                <w:szCs w:val="24"/>
              </w:rPr>
            </w:pPr>
            <w:r w:rsidRPr="18E4CB6F" w:rsidR="18E4CB6F">
              <w:rPr>
                <w:rFonts w:ascii="Arial" w:hAnsi="Arial" w:eastAsia="Arial" w:cs="Arial"/>
                <w:b w:val="0"/>
                <w:bCs w:val="0"/>
                <w:i w:val="0"/>
                <w:iCs w:val="0"/>
                <w:caps w:val="0"/>
                <w:smallCaps w:val="0"/>
                <w:color w:val="0D0D0D" w:themeColor="text1" w:themeTint="F2" w:themeShade="FF"/>
                <w:sz w:val="24"/>
                <w:szCs w:val="24"/>
                <w:lang w:val="en-GB"/>
              </w:rPr>
              <w:t>£40,910</w:t>
            </w:r>
          </w:p>
          <w:p w:rsidR="18E4CB6F" w:rsidP="18E4CB6F" w:rsidRDefault="18E4CB6F" w14:paraId="7CFA2436" w14:textId="2FE02EAF">
            <w:pPr>
              <w:spacing w:before="60" w:after="60"/>
              <w:ind w:left="57" w:right="57"/>
              <w:rPr>
                <w:rFonts w:ascii="Arial" w:hAnsi="Arial" w:eastAsia="Arial" w:cs="Arial"/>
                <w:b w:val="0"/>
                <w:bCs w:val="0"/>
                <w:i w:val="0"/>
                <w:iCs w:val="0"/>
                <w:caps w:val="0"/>
                <w:smallCaps w:val="0"/>
                <w:color w:val="0D0D0D" w:themeColor="text1" w:themeTint="F2" w:themeShade="FF"/>
                <w:sz w:val="24"/>
                <w:szCs w:val="24"/>
              </w:rPr>
            </w:pP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18E4CB6F"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0146A" w:rsidP="18E4CB6F" w:rsidRDefault="0010146A" w14:paraId="7A997F9E" w14:textId="10E59917">
            <w:pPr>
              <w:pStyle w:val="Normal"/>
              <w:ind w:left="0"/>
            </w:pPr>
            <w:r w:rsidR="21A94346">
              <w:rPr/>
              <w:t>Our p</w:t>
            </w:r>
            <w:r w:rsidR="69EFC199">
              <w:rPr/>
              <w:t>urpose</w:t>
            </w:r>
            <w:r w:rsidR="21A94346">
              <w:rPr/>
              <w:t xml:space="preserve"> is to create </w:t>
            </w:r>
            <w:r w:rsidR="69EFC199">
              <w:rPr/>
              <w:t xml:space="preserve">a </w:t>
            </w:r>
            <w:r w:rsidR="21A94346">
              <w:rPr/>
              <w:t xml:space="preserve">safe environment with </w:t>
            </w:r>
            <w:r w:rsidR="69EFC199">
              <w:rPr/>
              <w:t xml:space="preserve">substantial </w:t>
            </w:r>
            <w:r w:rsidR="21A94346">
              <w:rPr/>
              <w:t xml:space="preserve">pastoral support to </w:t>
            </w:r>
            <w:r w:rsidR="43C52E96">
              <w:rPr/>
              <w:t>enable access to</w:t>
            </w:r>
            <w:r w:rsidR="43C52E96">
              <w:rPr/>
              <w:t xml:space="preserve"> services and </w:t>
            </w:r>
            <w:r w:rsidR="21A94346">
              <w:rPr/>
              <w:t xml:space="preserve">accreditation to some of the most vulnerable </w:t>
            </w:r>
            <w:r w:rsidR="69EFC199">
              <w:rPr/>
              <w:t>children</w:t>
            </w:r>
            <w:r w:rsidR="21A94346">
              <w:rPr/>
              <w:t xml:space="preserve"> in society.</w:t>
            </w:r>
            <w:r w:rsidR="43C52E96">
              <w:rPr/>
              <w:t xml:space="preserve"> </w:t>
            </w:r>
            <w:r w:rsidR="69EFC199">
              <w:rPr/>
              <w:t xml:space="preserve">This </w:t>
            </w:r>
            <w:r w:rsidR="69EFC199">
              <w:rPr/>
              <w:t xml:space="preserve">includes heavily invested support to improve literacy and social skills that will in effect improve life chances of our pupils. </w:t>
            </w:r>
          </w:p>
          <w:p w:rsidR="0010146A" w:rsidP="18E4CB6F" w:rsidRDefault="0010146A" w14:paraId="45B308C4" w14:textId="4B8BBDC6">
            <w:pPr>
              <w:pStyle w:val="Normal"/>
              <w:ind w:left="0"/>
            </w:pPr>
            <w:r w:rsidR="21A94346">
              <w:rPr/>
              <w:t xml:space="preserve">Many are from complex backgrounds that have had the effect of underdeveloped literacy and numeracy skills, lack of engagement with education, lack of emotional literacy and under-developed social skills. </w:t>
            </w:r>
          </w:p>
          <w:p w:rsidR="0010146A" w:rsidP="18E4CB6F" w:rsidRDefault="0010146A" w14:paraId="101FE910" w14:textId="6CE661DF">
            <w:pPr>
              <w:pStyle w:val="Normal"/>
              <w:ind w:left="0"/>
            </w:pPr>
            <w:r w:rsidR="21A94346">
              <w:rPr/>
              <w:t xml:space="preserve">Many have poor physical and mental health, as well as other localised issues, including exposure to violence, gang related activities and more. </w:t>
            </w:r>
          </w:p>
          <w:p w:rsidR="00B641E7" w:rsidP="18E4CB6F" w:rsidRDefault="0010146A" w14:paraId="6A7BD357" w14:textId="3B8C058A">
            <w:pPr>
              <w:pStyle w:val="Normal"/>
              <w:ind w:left="0"/>
            </w:pPr>
            <w:r w:rsidR="21A94346">
              <w:rPr/>
              <w:t>In order to</w:t>
            </w:r>
            <w:r w:rsidR="21A94346">
              <w:rPr/>
              <w:t xml:space="preserve"> address these wide and varying needs, our pupil premium strategy plan is multifaceted. For example, in terms of addressing academic needs such as literacy development, we have invested in a library, a whole school reading </w:t>
            </w:r>
            <w:r w:rsidR="69EFC199">
              <w:rPr/>
              <w:t xml:space="preserve">intervention programme </w:t>
            </w:r>
            <w:r w:rsidR="56E71AFC">
              <w:rPr/>
              <w:t>(</w:t>
            </w:r>
            <w:r w:rsidR="56E71AFC">
              <w:rPr/>
              <w:t>Lexonic</w:t>
            </w:r>
            <w:r w:rsidR="56E71AFC">
              <w:rPr/>
              <w:t xml:space="preserve">) </w:t>
            </w:r>
            <w:r w:rsidR="69EFC199">
              <w:rPr/>
              <w:t xml:space="preserve">as well as </w:t>
            </w:r>
            <w:r w:rsidR="69EFC199">
              <w:rPr/>
              <w:t>additional</w:t>
            </w:r>
            <w:r w:rsidR="69EFC199">
              <w:rPr/>
              <w:t xml:space="preserve"> staff to help deliver the sessions and provide in class support. </w:t>
            </w:r>
          </w:p>
          <w:p w:rsidR="00FE36C2" w:rsidP="18E4CB6F" w:rsidRDefault="0010146A" w14:paraId="1CEA5302" w14:textId="6116095D">
            <w:pPr>
              <w:pStyle w:val="Normal"/>
              <w:ind w:left="0"/>
            </w:pPr>
            <w:r w:rsidR="21A94346">
              <w:rPr/>
              <w:t>We continue to develop our work with outside agencies such as NHS practitioners, Educational Psychologists and CAMHS, Future Men</w:t>
            </w:r>
            <w:r w:rsidR="69EFC199">
              <w:rPr/>
              <w:t xml:space="preserve"> and St Giles Trust </w:t>
            </w:r>
            <w:r w:rsidR="21A94346">
              <w:rPr/>
              <w:t xml:space="preserve">to address behavioural, </w:t>
            </w:r>
            <w:r w:rsidR="21A94346">
              <w:rPr/>
              <w:t>physical</w:t>
            </w:r>
            <w:r w:rsidR="21A94346">
              <w:rPr/>
              <w:t xml:space="preserve"> and mental health needs, as well as community issues that are specific to our learners’ contexts. </w:t>
            </w:r>
          </w:p>
          <w:p w:rsidR="00D53379" w:rsidP="18E4CB6F" w:rsidRDefault="00FE36C2" w14:paraId="0535B85E" w14:textId="2EF7C398">
            <w:pPr>
              <w:pStyle w:val="Normal"/>
              <w:ind w:left="0"/>
            </w:pPr>
            <w:r w:rsidR="43C52E96">
              <w:rPr/>
              <w:t xml:space="preserve">A lot of our pupils come from a background of disadvantage, trauma, and </w:t>
            </w:r>
            <w:r w:rsidR="43C52E96">
              <w:rPr/>
              <w:t>substantial</w:t>
            </w:r>
            <w:r w:rsidR="43C52E96">
              <w:rPr/>
              <w:t xml:space="preserve"> educational gaps (even after the Covid Context). The priority is ensuring that they are safe, </w:t>
            </w:r>
            <w:r w:rsidR="4720935F">
              <w:rPr/>
              <w:t xml:space="preserve">have their physical and emotional barriers to learning broken down to allow them to learn effectively. </w:t>
            </w:r>
            <w:r w:rsidR="189C5F70">
              <w:rPr/>
              <w:t xml:space="preserve">We offer free breakfast, lunch and breaktime snacks and fruit to all our pupils. Staff have been trained on the </w:t>
            </w:r>
            <w:r w:rsidR="189C5F70">
              <w:rPr/>
              <w:t>Lexonic</w:t>
            </w:r>
            <w:r w:rsidR="189C5F70">
              <w:rPr/>
              <w:t xml:space="preserve"> and </w:t>
            </w:r>
            <w:r w:rsidR="189C5F70">
              <w:rPr/>
              <w:t>Lexonic</w:t>
            </w:r>
            <w:r w:rsidR="189C5F70">
              <w:rPr/>
              <w:t xml:space="preserve"> Leap Literacy Programme to support with improving reading and comprehension.</w:t>
            </w:r>
          </w:p>
          <w:p w:rsidR="00FE36C2" w:rsidP="18E4CB6F" w:rsidRDefault="00D53379" w14:paraId="784AE2BF" w14:textId="39EDDA67">
            <w:pPr>
              <w:pStyle w:val="Normal"/>
              <w:ind w:left="0"/>
            </w:pPr>
            <w:r w:rsidR="4720935F">
              <w:rPr/>
              <w:t xml:space="preserve">Improving literacy is key for accessing education </w:t>
            </w:r>
            <w:r w:rsidR="43C52E96">
              <w:rPr/>
              <w:t>and gain</w:t>
            </w:r>
            <w:r w:rsidR="4720935F">
              <w:rPr/>
              <w:t>ing accreditation</w:t>
            </w:r>
            <w:r w:rsidR="43C52E96">
              <w:rPr/>
              <w:t xml:space="preserve"> that will allow sustained progression to Post-16 Education and Employment.</w:t>
            </w:r>
            <w:r w:rsidR="4720935F">
              <w:rPr/>
              <w:t xml:space="preserve"> The aim to ensure that pupils make sustained progress across attendance, behaviour, literacy, social and academic skills that will enable to have improved outcomes at the end of KS4 and beyond. </w:t>
            </w:r>
          </w:p>
          <w:p w:rsidRPr="0010477B" w:rsidR="00FE36C2" w:rsidP="18E4CB6F" w:rsidRDefault="00D53379" w14:paraId="2A7D54E9" w14:textId="4BBB3938">
            <w:pPr>
              <w:pStyle w:val="Normal"/>
              <w:ind w:left="0"/>
            </w:pPr>
            <w:r w:rsidR="4720935F">
              <w:rPr/>
              <w:t xml:space="preserve">Enrichment activities have the potential to raise aspiration and in turn raise intrinsic motivation for pupils. Whether </w:t>
            </w:r>
            <w:r w:rsidR="4720935F">
              <w:rPr/>
              <w:t>is</w:t>
            </w:r>
            <w:r w:rsidR="4720935F">
              <w:rPr/>
              <w:t xml:space="preserve"> be accessing more sporting activities </w:t>
            </w:r>
            <w:r w:rsidR="4720935F">
              <w:rPr/>
              <w:t xml:space="preserve">or trips </w:t>
            </w:r>
            <w:r w:rsidR="189C5F70">
              <w:rPr/>
              <w:t xml:space="preserve">or </w:t>
            </w:r>
            <w:r w:rsidR="4720935F">
              <w:rPr/>
              <w:t>external agency working</w:t>
            </w:r>
            <w:r w:rsidR="189C5F70">
              <w:rPr/>
              <w:t xml:space="preserve"> to deliver creative sessions, pupils need to be exposed to cultural capital and ideas about their place and role in society. </w:t>
            </w:r>
          </w:p>
        </w:tc>
      </w:tr>
    </w:tbl>
    <w:p w:rsidR="00E66558" w:rsidRDefault="009D71E8" w14:paraId="2A7D54EB" w14:textId="77777777">
      <w:pPr>
        <w:pStyle w:val="Heading2"/>
        <w:spacing w:before="600"/>
      </w:pPr>
      <w:r>
        <w:lastRenderedPageBreak/>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00E3621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00E3621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9D71E8" w14:paraId="2A7D54F0" w14:textId="77777777">
            <w:pPr>
              <w:pStyle w:val="TableRow"/>
              <w:rPr>
                <w:rFonts w:cs="Arial"/>
              </w:rPr>
            </w:pPr>
            <w:r w:rsidRPr="002B351E">
              <w:rPr>
                <w:rFonts w:cs="Arial"/>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CF6FC1" w:rsidRDefault="00E36218" w14:paraId="7F90B213" w14:textId="77777777">
            <w:pPr>
              <w:pStyle w:val="TableRowCentered"/>
              <w:jc w:val="left"/>
              <w:rPr>
                <w:rFonts w:cs="Arial"/>
                <w:color w:val="000000"/>
                <w:szCs w:val="24"/>
              </w:rPr>
            </w:pPr>
            <w:r w:rsidRPr="002B351E">
              <w:rPr>
                <w:rFonts w:cs="Arial"/>
                <w:color w:val="000000"/>
                <w:szCs w:val="24"/>
              </w:rPr>
              <w:t>Resources</w:t>
            </w:r>
          </w:p>
          <w:p w:rsidRPr="002B351E" w:rsidR="00E66558" w:rsidRDefault="00E36218" w14:paraId="2A7D54F1" w14:textId="11C165A1">
            <w:pPr>
              <w:pStyle w:val="TableRowCentered"/>
              <w:jc w:val="left"/>
              <w:rPr>
                <w:rFonts w:cs="Arial"/>
                <w:szCs w:val="24"/>
              </w:rPr>
            </w:pPr>
            <w:r w:rsidRPr="002B351E">
              <w:rPr>
                <w:rFonts w:cs="Arial"/>
                <w:color w:val="000000"/>
                <w:szCs w:val="24"/>
              </w:rPr>
              <w:t>Access to basic food and clothing resources is an essential aspect to working with disadvantaged communities. Families who receive one or more benefits will benefit from ensuring that at school children are receiving at least one hot nutritious meal a day. These aspects (e.g., uniform learning equipment and nutritious food) act as barriers to children attending school, which in turn affects children s’ ability to perform at school and achieve good outcomes.</w:t>
            </w:r>
          </w:p>
        </w:tc>
      </w:tr>
      <w:tr w:rsidR="00E66558" w:rsidTr="00E3621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9D71E8" w14:paraId="2A7D54F3" w14:textId="77777777">
            <w:pPr>
              <w:pStyle w:val="TableRow"/>
              <w:rPr>
                <w:rFonts w:cs="Arial"/>
              </w:rPr>
            </w:pPr>
            <w:r w:rsidRPr="002B351E">
              <w:rPr>
                <w:rFonts w:cs="Arial"/>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E36218" w14:paraId="2A7D54F4" w14:textId="4D54F0D1">
            <w:pPr>
              <w:pStyle w:val="TableRowCentered"/>
              <w:jc w:val="left"/>
              <w:rPr>
                <w:rFonts w:cs="Arial"/>
                <w:szCs w:val="24"/>
              </w:rPr>
            </w:pPr>
            <w:r w:rsidRPr="002B351E">
              <w:rPr>
                <w:rFonts w:cs="Arial"/>
                <w:color w:val="000000"/>
                <w:szCs w:val="24"/>
              </w:rPr>
              <w:t>Social and emotional mental health needs</w:t>
            </w:r>
            <w:r w:rsidRPr="002B351E" w:rsidR="00CF6FC1">
              <w:rPr>
                <w:rFonts w:cs="Arial"/>
                <w:color w:val="000000"/>
                <w:szCs w:val="24"/>
              </w:rPr>
              <w:t xml:space="preserve">. </w:t>
            </w:r>
            <w:r w:rsidRPr="002B351E">
              <w:rPr>
                <w:rFonts w:cs="Arial"/>
                <w:color w:val="000000"/>
                <w:szCs w:val="24"/>
              </w:rPr>
              <w:t>Behaviour acts as a barrier to attendance and progress (and therefore attainment at school), · Meeting individual needs and addressing barriers to learning raise the potential for disadvantaged by meeting need and working to develop strategies to manage behaviour challenges which are as a result of SEMH · Building positive relationships and exploring and developing strategies to workout challenges they may face in the school setting support the school community to work cohesively</w:t>
            </w:r>
          </w:p>
        </w:tc>
      </w:tr>
      <w:tr w:rsidR="00E66558" w:rsidTr="00E36218"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9D71E8" w14:paraId="2A7D54F6" w14:textId="77777777">
            <w:pPr>
              <w:pStyle w:val="TableRow"/>
              <w:rPr>
                <w:rFonts w:cs="Arial"/>
              </w:rPr>
            </w:pPr>
            <w:r w:rsidRPr="002B351E">
              <w:rPr>
                <w:rFonts w:cs="Arial"/>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10477B" w:rsidP="00E36218" w:rsidRDefault="0010477B" w14:paraId="3A43F171" w14:textId="77777777">
            <w:pPr>
              <w:pStyle w:val="NormalWeb"/>
              <w:rPr>
                <w:rFonts w:ascii="Arial" w:hAnsi="Arial" w:cs="Arial"/>
              </w:rPr>
            </w:pPr>
            <w:r w:rsidRPr="002B351E">
              <w:rPr>
                <w:rFonts w:ascii="Arial" w:hAnsi="Arial" w:cs="Arial"/>
              </w:rPr>
              <w:t xml:space="preserve">A lot of pupils have unidentified learning needs. </w:t>
            </w:r>
          </w:p>
          <w:p w:rsidRPr="002B351E" w:rsidR="00E66558" w:rsidP="00E36218" w:rsidRDefault="00CF6FC1" w14:paraId="7AA00EE5" w14:textId="76BFE1BC">
            <w:pPr>
              <w:pStyle w:val="NormalWeb"/>
              <w:rPr>
                <w:rFonts w:ascii="Arial" w:hAnsi="Arial" w:cs="Arial"/>
              </w:rPr>
            </w:pPr>
            <w:r w:rsidRPr="002B351E">
              <w:rPr>
                <w:rFonts w:ascii="Arial" w:hAnsi="Arial" w:cs="Arial"/>
              </w:rPr>
              <w:t xml:space="preserve">Raising levels of literacy. Training more staff to deliver 1:1 interventions and identifying need and capacity early on. Comprehensive induction testing and assessment throughout schooling to ensure staff are aware of literacy and cognitive needs of pupils. Whole school approach and </w:t>
            </w:r>
          </w:p>
          <w:p w:rsidRPr="002B351E" w:rsidR="00CF6FC1" w:rsidP="00E36218" w:rsidRDefault="00CF6FC1" w14:paraId="2A7D54F7" w14:textId="62D24BF2">
            <w:pPr>
              <w:pStyle w:val="NormalWeb"/>
              <w:rPr>
                <w:rFonts w:ascii="Arial" w:hAnsi="Arial" w:cs="Arial"/>
              </w:rPr>
            </w:pPr>
          </w:p>
        </w:tc>
      </w:tr>
      <w:tr w:rsidR="00E66558" w:rsidTr="0081164C"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9D71E8" w14:paraId="2A7D54F9" w14:textId="77777777">
            <w:pPr>
              <w:pStyle w:val="TableRow"/>
              <w:rPr>
                <w:rFonts w:cs="Arial"/>
              </w:rPr>
            </w:pPr>
            <w:r w:rsidRPr="002B351E">
              <w:rPr>
                <w:rFonts w:cs="Arial"/>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rsidRPr="002B351E" w:rsidR="0081164C" w:rsidP="00CF6FC1" w:rsidRDefault="00CF6FC1" w14:paraId="2A7D54FA" w14:textId="264C9741">
            <w:pPr>
              <w:pStyle w:val="NormalWeb"/>
              <w:rPr>
                <w:rFonts w:ascii="Arial" w:hAnsi="Arial" w:cs="Arial"/>
                <w:color w:val="000000"/>
              </w:rPr>
            </w:pPr>
            <w:r w:rsidRPr="002B351E">
              <w:rPr>
                <w:rFonts w:ascii="Arial" w:hAnsi="Arial" w:cs="Arial"/>
                <w:color w:val="000000"/>
              </w:rPr>
              <w:t>Attendance is low in AP context due to the challenges already described.</w:t>
            </w:r>
            <w:r w:rsidRPr="002B351E" w:rsidR="007675A3">
              <w:rPr>
                <w:rFonts w:ascii="Arial" w:hAnsi="Arial" w:cs="Arial"/>
                <w:color w:val="000000"/>
              </w:rPr>
              <w:t xml:space="preserve"> Attendance is partially low due to punctuality issues </w:t>
            </w:r>
            <w:r w:rsidRPr="002B351E" w:rsidR="000B4797">
              <w:rPr>
                <w:rFonts w:ascii="Arial" w:hAnsi="Arial" w:cs="Arial"/>
                <w:color w:val="000000"/>
              </w:rPr>
              <w:t xml:space="preserve">and this is also key area of improvement. </w:t>
            </w:r>
          </w:p>
        </w:tc>
      </w:tr>
      <w:tr w:rsidR="00E66558" w:rsidTr="00E36218"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9D71E8" w14:paraId="2A7D54FC" w14:textId="77777777">
            <w:pPr>
              <w:pStyle w:val="TableRow"/>
              <w:rPr>
                <w:rFonts w:cs="Arial"/>
              </w:rPr>
            </w:pPr>
            <w:bookmarkStart w:name="_Toc443397160" w:id="16"/>
            <w:r w:rsidRPr="002B351E">
              <w:rPr>
                <w:rFonts w:cs="Arial"/>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CF6FC1" w:rsidRDefault="00E36218" w14:paraId="671D5F70" w14:textId="77777777">
            <w:pPr>
              <w:pStyle w:val="TableRowCentered"/>
              <w:jc w:val="left"/>
              <w:rPr>
                <w:rFonts w:cs="Arial"/>
                <w:color w:val="000000"/>
                <w:szCs w:val="24"/>
              </w:rPr>
            </w:pPr>
            <w:r w:rsidRPr="002B351E">
              <w:rPr>
                <w:rFonts w:cs="Arial"/>
                <w:color w:val="000000"/>
                <w:szCs w:val="24"/>
              </w:rPr>
              <w:t>Lack of enrichment experiences</w:t>
            </w:r>
            <w:r w:rsidRPr="002B351E" w:rsidR="00CF6FC1">
              <w:rPr>
                <w:rFonts w:cs="Arial"/>
                <w:color w:val="000000"/>
                <w:szCs w:val="24"/>
              </w:rPr>
              <w:t>.</w:t>
            </w:r>
          </w:p>
          <w:p w:rsidRPr="002B351E" w:rsidR="00E66558" w:rsidRDefault="00E36218" w14:paraId="2A7D54FD" w14:textId="66232EE8">
            <w:pPr>
              <w:pStyle w:val="TableRowCentered"/>
              <w:jc w:val="left"/>
              <w:rPr>
                <w:rFonts w:cs="Arial"/>
                <w:iCs/>
                <w:szCs w:val="24"/>
              </w:rPr>
            </w:pPr>
            <w:r w:rsidRPr="002B351E">
              <w:rPr>
                <w:rFonts w:cs="Arial"/>
                <w:color w:val="000000"/>
                <w:szCs w:val="24"/>
              </w:rPr>
              <w:t>Where children have a more disadvantaged home life it is likely there will be less resources for them to be exposed to a broad range of experiences outside of school</w:t>
            </w:r>
            <w:r w:rsidRPr="002B351E" w:rsidR="0010477B">
              <w:rPr>
                <w:rFonts w:cs="Arial"/>
                <w:color w:val="000000"/>
                <w:szCs w:val="24"/>
              </w:rPr>
              <w:t>. T</w:t>
            </w:r>
            <w:r w:rsidRPr="002B351E">
              <w:rPr>
                <w:rFonts w:cs="Arial"/>
                <w:color w:val="000000"/>
                <w:szCs w:val="24"/>
              </w:rPr>
              <w:t>his often limits children’s opportunities to be broadened within their school setting. · Cultural capital through enrichment experiences offers PP children a new world of learning which in turn affects their access to wonder and aspiration</w:t>
            </w:r>
          </w:p>
        </w:tc>
      </w:tr>
    </w:tbl>
    <w:p w:rsidR="00E66558" w:rsidRDefault="009D71E8" w14:paraId="2A7D54FF" w14:textId="77777777">
      <w:pPr>
        <w:pStyle w:val="Heading2"/>
        <w:spacing w:before="600"/>
      </w:pPr>
      <w:r>
        <w:lastRenderedPageBreak/>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10477B" w14:paraId="2A7D5504" w14:textId="595CB898">
            <w:pPr>
              <w:pStyle w:val="TableRow"/>
            </w:pPr>
            <w:r w:rsidRPr="002B351E">
              <w:t xml:space="preserve">Improved wellbeing and health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CA2F51" w:rsidRDefault="00CA2F51" w14:paraId="1AA301EF" w14:textId="77777777">
            <w:pPr>
              <w:pStyle w:val="TableRowCentered"/>
              <w:jc w:val="left"/>
              <w:rPr>
                <w:szCs w:val="24"/>
              </w:rPr>
            </w:pPr>
            <w:r w:rsidRPr="002B351E">
              <w:rPr>
                <w:szCs w:val="24"/>
              </w:rPr>
              <w:t>Removing physical barriers to learning</w:t>
            </w:r>
          </w:p>
          <w:p w:rsidRPr="002B351E" w:rsidR="00E66558" w:rsidRDefault="00CA2F51" w14:paraId="57C25C7A" w14:textId="5C85F8B4">
            <w:pPr>
              <w:pStyle w:val="TableRowCentered"/>
              <w:jc w:val="left"/>
              <w:rPr>
                <w:szCs w:val="24"/>
              </w:rPr>
            </w:pPr>
            <w:r w:rsidRPr="002B351E">
              <w:rPr>
                <w:szCs w:val="24"/>
              </w:rPr>
              <w:t xml:space="preserve">Improving attitude and attendance. </w:t>
            </w:r>
          </w:p>
          <w:p w:rsidRPr="002B351E" w:rsidR="00CA2F51" w:rsidP="00CA2F51" w:rsidRDefault="00CA2F51" w14:paraId="2A7D5505" w14:textId="535204B7">
            <w:pPr>
              <w:pStyle w:val="TableRowCentered"/>
              <w:ind w:left="0"/>
              <w:jc w:val="left"/>
              <w:rPr>
                <w:szCs w:val="24"/>
              </w:rPr>
            </w:pPr>
          </w:p>
        </w:tc>
      </w:tr>
      <w:tr w:rsidR="00E66558"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C0499B" w14:paraId="2A7D5507" w14:textId="6CA66112">
            <w:pPr>
              <w:pStyle w:val="TableRow"/>
            </w:pPr>
            <w:r w:rsidRPr="002B351E">
              <w:t>Improved literacy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C0499B" w14:paraId="2A7D5508" w14:textId="20CF9E75">
            <w:pPr>
              <w:pStyle w:val="TableRowCentered"/>
              <w:jc w:val="left"/>
              <w:rPr>
                <w:szCs w:val="24"/>
              </w:rPr>
            </w:pPr>
            <w:r w:rsidRPr="002B351E">
              <w:rPr>
                <w:szCs w:val="24"/>
              </w:rPr>
              <w:t>Improved literacy skills Reading assessments will indicate that students will make rapid and sustained progress in reading age. Bespoke Literacy assessments will be utilised to chart developments in written ability</w:t>
            </w:r>
          </w:p>
        </w:tc>
      </w:tr>
      <w:tr w:rsidR="00E66558" w14:paraId="2A7D550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C0499B" w14:paraId="2A7D550A" w14:textId="7D6017A7">
            <w:pPr>
              <w:pStyle w:val="TableRow"/>
            </w:pPr>
            <w:r w:rsidRPr="002B351E">
              <w:t xml:space="preserve">Improve access and support to post -16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B351E" w:rsidR="00E66558" w:rsidRDefault="00C0499B" w14:paraId="2A7D550B" w14:textId="785216E3">
            <w:pPr>
              <w:pStyle w:val="TableRowCentered"/>
              <w:jc w:val="left"/>
              <w:rPr>
                <w:szCs w:val="24"/>
              </w:rPr>
            </w:pPr>
            <w:r w:rsidRPr="002B351E">
              <w:rPr>
                <w:szCs w:val="24"/>
              </w:rPr>
              <w:t xml:space="preserve">Investment in sessions and activities to allow pupils to engage in different career pathways and courses. Curriculum planning and delivery to include external organisations. Reduction in NEET numbers at end of KS4 and during further data drops. </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265ED316">
      <w: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0097088E" w14:paraId="2A7D551D" w14:textId="77777777">
        <w:tc>
          <w:tcPr>
            <w:tcW w:w="2688"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Mar>
              <w:top w:w="0" w:type="dxa"/>
              <w:left w:w="108" w:type="dxa"/>
              <w:bottom w:w="0" w:type="dxa"/>
              <w:right w:w="108" w:type="dxa"/>
            </w:tcMar>
          </w:tcPr>
          <w:p w:rsidR="0004409C" w:rsidP="0004409C" w:rsidRDefault="0004409C" w14:paraId="2A7D551A" w14:textId="53646A14">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Mar>
              <w:top w:w="0" w:type="dxa"/>
              <w:left w:w="108" w:type="dxa"/>
              <w:bottom w:w="0" w:type="dxa"/>
              <w:right w:w="108" w:type="dxa"/>
            </w:tcMar>
          </w:tcPr>
          <w:p w:rsidR="0004409C" w:rsidRDefault="0004409C" w14:paraId="2A7D551B" w14:textId="40ECB18E">
            <w:pPr>
              <w:pStyle w:val="TableRowCentered"/>
              <w:jc w:val="left"/>
              <w:rPr>
                <w:sz w:val="22"/>
              </w:rPr>
            </w:pPr>
          </w:p>
        </w:tc>
        <w:tc>
          <w:tcPr>
            <w:tcW w:w="2544" w:type="dxa"/>
            <w:tcBorders>
              <w:top w:val="single" w:color="000000" w:sz="4" w:space="0"/>
              <w:left w:val="single" w:color="000000" w:sz="4" w:space="0"/>
              <w:bottom w:val="single" w:color="000000" w:sz="4" w:space="0"/>
              <w:right w:val="single" w:color="000000" w:sz="4" w:space="0"/>
            </w:tcBorders>
            <w:shd w:val="clear" w:color="auto" w:fill="808080" w:themeFill="background1" w:themeFillShade="80"/>
            <w:tcMar>
              <w:top w:w="0" w:type="dxa"/>
              <w:left w:w="108" w:type="dxa"/>
              <w:bottom w:w="0" w:type="dxa"/>
              <w:right w:w="108" w:type="dxa"/>
            </w:tcMar>
          </w:tcPr>
          <w:p w:rsidR="00E66558" w:rsidRDefault="00E66558" w14:paraId="2A7D551C" w14:textId="6AA46CBE">
            <w:pPr>
              <w:pStyle w:val="TableRowCentered"/>
              <w:jc w:val="left"/>
              <w:rPr>
                <w:sz w:val="22"/>
              </w:rPr>
            </w:pPr>
          </w:p>
        </w:tc>
      </w:tr>
    </w:tbl>
    <w:p w:rsidR="00E66558" w:rsidRDefault="00E66558" w14:paraId="2A7D5522" w14:textId="77777777">
      <w:pPr>
        <w:keepNext/>
        <w:spacing w:after="60"/>
        <w:outlineLvl w:val="1"/>
      </w:pPr>
    </w:p>
    <w:p w:rsidR="00E66558" w:rsidRDefault="009D71E8" w14:paraId="2A7D5523" w14:textId="1DC08891">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69C12110">
      <w:r w:rsidR="009D71E8">
        <w:rPr/>
        <w:t xml:space="preserve">Budgeted cost: £ </w:t>
      </w:r>
      <w:r w:rsidR="00327C3E">
        <w:rPr/>
        <w:t>£1</w:t>
      </w:r>
      <w:r w:rsidR="6D2519C4">
        <w:rPr/>
        <w:t>5</w:t>
      </w:r>
      <w:r w:rsidR="00327C3E">
        <w:rPr/>
        <w:t>,</w:t>
      </w:r>
      <w:r w:rsidR="21CC8DCD">
        <w:rPr/>
        <w:t>91</w:t>
      </w:r>
      <w:r w:rsidR="00327C3E">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327C3E" w14:paraId="2A7D552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327C3E" w14:paraId="2A7D5529" w14:textId="1D406DDD">
            <w:pPr>
              <w:pStyle w:val="TableRow"/>
            </w:pPr>
            <w:r w:rsidRPr="0097088E">
              <w:t>Additional in-class support (TA) and Lexonic Programme</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327C3E" w14:paraId="4BC3898E" w14:textId="77777777">
            <w:pPr>
              <w:pStyle w:val="TableRowCentered"/>
              <w:jc w:val="left"/>
              <w:rPr>
                <w:szCs w:val="24"/>
              </w:rPr>
            </w:pPr>
            <w:r w:rsidRPr="0097088E">
              <w:rPr>
                <w:szCs w:val="24"/>
              </w:rPr>
              <w:t>In class support for embedded literacy lesson KS3</w:t>
            </w:r>
          </w:p>
          <w:p w:rsidRPr="0097088E" w:rsidR="00327C3E" w:rsidP="00327C3E" w:rsidRDefault="00327C3E" w14:paraId="2A7D552A" w14:textId="2780F75C">
            <w:pPr>
              <w:pStyle w:val="TableRowCentered"/>
              <w:jc w:val="left"/>
              <w:rPr>
                <w:szCs w:val="24"/>
              </w:rPr>
            </w:pPr>
            <w:r w:rsidRPr="0097088E">
              <w:rPr>
                <w:szCs w:val="24"/>
              </w:rPr>
              <w:t xml:space="preserve">Half lesson whole class and half 1:1 delivered by Lexonic trained specialist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327C3E" w14:paraId="2A7D552B" w14:textId="199E580B">
            <w:pPr>
              <w:pStyle w:val="TableRowCentered"/>
              <w:jc w:val="left"/>
              <w:rPr>
                <w:szCs w:val="24"/>
              </w:rPr>
            </w:pPr>
            <w:r w:rsidRPr="0097088E">
              <w:rPr>
                <w:szCs w:val="24"/>
              </w:rPr>
              <w:t>2 and 3</w:t>
            </w:r>
          </w:p>
        </w:tc>
      </w:tr>
      <w:tr w:rsidR="00327C3E" w14:paraId="2A7D553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166132" w14:paraId="2A7D552D" w14:textId="1E5CB9BE">
            <w:pPr>
              <w:pStyle w:val="TableRow"/>
              <w:rPr>
                <w:iCs/>
              </w:rPr>
            </w:pPr>
            <w:r w:rsidRPr="0097088E">
              <w:rPr>
                <w:iCs/>
              </w:rPr>
              <w:t>Additional capacity for mentoring</w:t>
            </w:r>
            <w:r w:rsidRPr="0097088E" w:rsidR="00D70C27">
              <w:rPr>
                <w:iCs/>
              </w:rPr>
              <w:t xml:space="preserve"> (TA)</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166132" w14:paraId="2A7D552E" w14:textId="2A5006F7">
            <w:pPr>
              <w:pStyle w:val="TableRowCentered"/>
              <w:jc w:val="left"/>
              <w:rPr>
                <w:szCs w:val="24"/>
              </w:rPr>
            </w:pPr>
            <w:r w:rsidRPr="0097088E">
              <w:rPr>
                <w:szCs w:val="24"/>
              </w:rPr>
              <w:t xml:space="preserve">Mentoring 1:1 and sessions to include </w:t>
            </w:r>
            <w:r w:rsidRPr="0097088E" w:rsidR="00D8663E">
              <w:rPr>
                <w:szCs w:val="24"/>
              </w:rPr>
              <w:t>games-based</w:t>
            </w:r>
            <w:r w:rsidRPr="0097088E">
              <w:rPr>
                <w:szCs w:val="24"/>
              </w:rPr>
              <w:t xml:space="preserve"> learning resources to improve social communication skills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327C3E" w:rsidP="00327C3E" w:rsidRDefault="00166132" w14:paraId="2A7D552F" w14:textId="72C91566">
            <w:pPr>
              <w:pStyle w:val="TableRowCentered"/>
              <w:jc w:val="left"/>
              <w:rPr>
                <w:szCs w:val="24"/>
              </w:rPr>
            </w:pPr>
            <w:r w:rsidRPr="0097088E">
              <w:rPr>
                <w:szCs w:val="24"/>
              </w:rPr>
              <w:t>2</w:t>
            </w: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RDefault="009D71E8" w14:paraId="2A7D5533" w14:textId="4F7F5293">
      <w:pPr>
        <w:spacing w:before="240" w:after="120"/>
      </w:pPr>
      <w:r w:rsidR="009D71E8">
        <w:rPr/>
        <w:t>Budgeted cost: £</w:t>
      </w:r>
      <w:r w:rsidR="00166132">
        <w:rPr/>
        <w:t xml:space="preserve"> </w:t>
      </w:r>
      <w:r w:rsidR="190C4EF9">
        <w:rPr/>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14:paraId="2A7D553B"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166132" w:rsidP="00166132" w:rsidRDefault="00166132" w14:paraId="49CDBA35" w14:textId="60B0EE55">
            <w:pPr>
              <w:pStyle w:val="TableRow"/>
            </w:pPr>
            <w:r w:rsidRPr="0097088E">
              <w:t>Enrichment:</w:t>
            </w:r>
          </w:p>
          <w:p w:rsidRPr="0097088E" w:rsidR="00E66558" w:rsidP="00166132" w:rsidRDefault="00166132" w14:paraId="36FBD498" w14:textId="1F5659EE">
            <w:pPr>
              <w:pStyle w:val="TableRow"/>
            </w:pPr>
            <w:r w:rsidRPr="0097088E">
              <w:t xml:space="preserve">boxing, football, rock climbing, jewellery making, arts and </w:t>
            </w:r>
            <w:r w:rsidRPr="0097088E">
              <w:lastRenderedPageBreak/>
              <w:t xml:space="preserve">crafts, trips, dance, music. </w:t>
            </w:r>
          </w:p>
          <w:p w:rsidRPr="0097088E" w:rsidR="00166132" w:rsidP="00166132" w:rsidRDefault="00166132" w14:paraId="03C80643" w14:textId="77777777">
            <w:pPr>
              <w:pStyle w:val="TableRow"/>
            </w:pPr>
          </w:p>
          <w:p w:rsidRPr="0097088E" w:rsidR="00166132" w:rsidP="00166132" w:rsidRDefault="00166132" w14:paraId="2A7D5538" w14:textId="51A31281">
            <w:pPr>
              <w:pStyle w:val="TableRow"/>
            </w:pPr>
            <w:r w:rsidRPr="0097088E">
              <w:t xml:space="preserve">Careers and NEET enrichment programmes.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E66558" w:rsidRDefault="00140E42" w14:paraId="2A7D5539" w14:textId="7309E9DE">
            <w:pPr>
              <w:pStyle w:val="TableRowCentered"/>
              <w:jc w:val="left"/>
              <w:rPr>
                <w:szCs w:val="24"/>
              </w:rPr>
            </w:pPr>
            <w:r w:rsidRPr="0097088E">
              <w:rPr>
                <w:color w:val="000000"/>
                <w:szCs w:val="24"/>
              </w:rPr>
              <w:lastRenderedPageBreak/>
              <w:t>Cultural capital experiences enhance children’s wonder awe and aspirations thereby engaging them further with education and life chances post 16</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E66558" w:rsidRDefault="00140E42" w14:paraId="2A7D553A" w14:textId="7E366194">
            <w:pPr>
              <w:pStyle w:val="TableRowCentered"/>
              <w:jc w:val="left"/>
              <w:rPr>
                <w:szCs w:val="24"/>
              </w:rPr>
            </w:pPr>
            <w:r w:rsidRPr="0097088E">
              <w:rPr>
                <w:szCs w:val="24"/>
              </w:rPr>
              <w:t>5</w:t>
            </w:r>
          </w:p>
        </w:tc>
      </w:tr>
      <w:tr w:rsidR="00E66558" w14:paraId="2A7D553F"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166132" w:rsidP="00166132" w:rsidRDefault="00166132" w14:paraId="7846F2A0" w14:textId="1D9CD09B">
            <w:pPr>
              <w:pStyle w:val="TableRow"/>
              <w:ind w:left="0"/>
            </w:pPr>
            <w:r w:rsidRPr="0097088E">
              <w:t xml:space="preserve">Breakfast club and lunch </w:t>
            </w:r>
          </w:p>
          <w:p w:rsidRPr="0097088E" w:rsidR="00166132" w:rsidRDefault="00166132" w14:paraId="51EE48AD" w14:textId="77777777">
            <w:pPr>
              <w:pStyle w:val="TableRow"/>
            </w:pPr>
          </w:p>
          <w:p w:rsidRPr="0097088E" w:rsidR="00E66558" w:rsidRDefault="00E66558" w14:paraId="2A7D553C" w14:textId="687F99EA">
            <w:pPr>
              <w:pStyle w:val="TableRow"/>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E66558" w:rsidRDefault="00140E42" w14:paraId="2A7D553D" w14:textId="4EC4B02A">
            <w:pPr>
              <w:pStyle w:val="TableRowCentered"/>
              <w:jc w:val="left"/>
              <w:rPr>
                <w:szCs w:val="24"/>
              </w:rPr>
            </w:pPr>
            <w:r w:rsidRPr="0097088E">
              <w:rPr>
                <w:color w:val="000000"/>
                <w:szCs w:val="24"/>
              </w:rPr>
              <w:t>Disadvantaged families are supported through being provided with essentials which support children to feel part of the school community.  Hot and nutritious food being offered throughout the school day ensures all are provided with enough sustenance to learn</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7088E" w:rsidR="00E66558" w:rsidRDefault="00140E42" w14:paraId="2A7D553E" w14:textId="133D9BB5">
            <w:pPr>
              <w:pStyle w:val="TableRowCentered"/>
              <w:jc w:val="left"/>
              <w:rPr>
                <w:szCs w:val="24"/>
              </w:rPr>
            </w:pPr>
            <w:r w:rsidRPr="0097088E">
              <w:rPr>
                <w:szCs w:val="24"/>
              </w:rPr>
              <w:t>1</w:t>
            </w:r>
            <w:r w:rsidRPr="0097088E" w:rsidR="00166132">
              <w:rPr>
                <w:szCs w:val="24"/>
              </w:rPr>
              <w:t xml:space="preserve"> and 2</w:t>
            </w:r>
          </w:p>
        </w:tc>
      </w:tr>
    </w:tbl>
    <w:p w:rsidR="00E66558" w:rsidRDefault="00E66558" w14:paraId="2A7D5540" w14:textId="77777777">
      <w:pPr>
        <w:spacing w:before="240" w:after="0"/>
        <w:rPr>
          <w:b/>
          <w:bCs/>
          <w:color w:val="104F75"/>
          <w:sz w:val="28"/>
          <w:szCs w:val="28"/>
        </w:rPr>
      </w:pPr>
    </w:p>
    <w:p w:rsidR="00E66558" w:rsidP="18E4CB6F" w:rsidRDefault="009D71E8" w14:paraId="2A7D5541" w14:textId="2EBCFD54">
      <w:pPr>
        <w:rPr>
          <w:b w:val="1"/>
          <w:bCs w:val="1"/>
          <w:color w:val="104F75"/>
          <w:sz w:val="28"/>
          <w:szCs w:val="28"/>
        </w:rPr>
      </w:pPr>
      <w:r w:rsidRPr="18E4CB6F" w:rsidR="009D71E8">
        <w:rPr>
          <w:b w:val="1"/>
          <w:bCs w:val="1"/>
          <w:color w:val="104F75"/>
          <w:sz w:val="28"/>
          <w:szCs w:val="28"/>
        </w:rPr>
        <w:t>Total budgeted cost: £</w:t>
      </w:r>
      <w:r w:rsidRPr="18E4CB6F" w:rsidR="32957A41">
        <w:rPr>
          <w:b w:val="1"/>
          <w:bCs w:val="1"/>
          <w:color w:val="104F75"/>
          <w:sz w:val="28"/>
          <w:szCs w:val="28"/>
        </w:rPr>
        <w:t>40,910</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E66558" w:rsidRDefault="00E66558" w14:paraId="2A7D5544" w14:textId="113DA5CD"/>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8663E" w:rsidRDefault="00A15F66" w14:paraId="0C72B1D0" w14:textId="3E33A716">
            <w:pPr>
              <w:rPr>
                <w:color w:val="000000"/>
              </w:rPr>
            </w:pPr>
            <w:r w:rsidRPr="00693B54">
              <w:rPr>
                <w:color w:val="000000"/>
              </w:rPr>
              <w:t xml:space="preserve">Over the course of the 2023/24 academic year, the pupil premium funding was used effectively to </w:t>
            </w:r>
            <w:r w:rsidR="00693B54">
              <w:rPr>
                <w:color w:val="000000"/>
              </w:rPr>
              <w:t>provide targeted academic support</w:t>
            </w:r>
            <w:r w:rsidR="00AC0EB8">
              <w:rPr>
                <w:color w:val="000000"/>
              </w:rPr>
              <w:t xml:space="preserve"> and embed wider strategies to encourage </w:t>
            </w:r>
            <w:r w:rsidR="000007B1">
              <w:rPr>
                <w:color w:val="000000"/>
              </w:rPr>
              <w:t>pupils’ engagement in school.</w:t>
            </w:r>
          </w:p>
          <w:p w:rsidR="000007B1" w:rsidRDefault="00065C46" w14:paraId="525A3819" w14:textId="197992CE">
            <w:pPr>
              <w:rPr>
                <w:color w:val="000000"/>
              </w:rPr>
            </w:pPr>
            <w:r>
              <w:rPr>
                <w:color w:val="000000"/>
              </w:rPr>
              <w:t xml:space="preserve">The targeted academic support focused on the following two </w:t>
            </w:r>
            <w:r w:rsidR="00CF5C5D">
              <w:rPr>
                <w:color w:val="000000"/>
              </w:rPr>
              <w:t>activities:</w:t>
            </w:r>
          </w:p>
          <w:p w:rsidRPr="00CF5C5D" w:rsidR="00CF5C5D" w:rsidP="00CF5C5D" w:rsidRDefault="00CF5C5D" w14:paraId="254307C8" w14:textId="31406748">
            <w:pPr>
              <w:pStyle w:val="ListParagraph"/>
              <w:numPr>
                <w:ilvl w:val="0"/>
                <w:numId w:val="14"/>
              </w:numPr>
              <w:rPr>
                <w:color w:val="000000"/>
              </w:rPr>
            </w:pPr>
            <w:r w:rsidRPr="0097088E">
              <w:t>Additional in-class support (TA) and Lexonic Programme</w:t>
            </w:r>
          </w:p>
          <w:p w:rsidRPr="00ED402C" w:rsidR="00CF5C5D" w:rsidP="00CF5C5D" w:rsidRDefault="00CF5C5D" w14:paraId="1CD71DD5" w14:textId="4931AACB">
            <w:pPr>
              <w:pStyle w:val="ListParagraph"/>
              <w:numPr>
                <w:ilvl w:val="0"/>
                <w:numId w:val="14"/>
              </w:numPr>
              <w:rPr>
                <w:color w:val="000000"/>
              </w:rPr>
            </w:pPr>
            <w:r w:rsidRPr="0097088E">
              <w:rPr>
                <w:iCs/>
              </w:rPr>
              <w:t>Additional capacity for mentoring (TA)</w:t>
            </w:r>
          </w:p>
          <w:p w:rsidR="00CF5C5D" w:rsidP="00CF5C5D" w:rsidRDefault="00E4007C" w14:paraId="5D8023D6" w14:textId="51552387">
            <w:pPr>
              <w:rPr>
                <w:color w:val="000000"/>
              </w:rPr>
            </w:pPr>
            <w:r>
              <w:rPr>
                <w:color w:val="000000"/>
              </w:rPr>
              <w:t>The additional in-class suppor</w:t>
            </w:r>
            <w:r w:rsidR="00C33745">
              <w:rPr>
                <w:color w:val="000000"/>
              </w:rPr>
              <w:t xml:space="preserve">t </w:t>
            </w:r>
            <w:r w:rsidR="00DA0F1D">
              <w:rPr>
                <w:color w:val="000000"/>
              </w:rPr>
              <w:t>contributed to an 8% increase</w:t>
            </w:r>
            <w:r w:rsidR="00260874">
              <w:rPr>
                <w:color w:val="000000"/>
              </w:rPr>
              <w:t xml:space="preserve"> from 75% in 2022/23 to 83%</w:t>
            </w:r>
            <w:r w:rsidR="00DA0F1D">
              <w:rPr>
                <w:color w:val="000000"/>
              </w:rPr>
              <w:t xml:space="preserve"> </w:t>
            </w:r>
            <w:r w:rsidR="00314C75">
              <w:rPr>
                <w:color w:val="000000"/>
              </w:rPr>
              <w:t xml:space="preserve">of </w:t>
            </w:r>
            <w:r w:rsidR="00DA0F1D">
              <w:rPr>
                <w:color w:val="000000"/>
              </w:rPr>
              <w:t xml:space="preserve">pupils </w:t>
            </w:r>
            <w:r w:rsidR="00314C75">
              <w:rPr>
                <w:color w:val="000000"/>
              </w:rPr>
              <w:t xml:space="preserve">in 2023/24 </w:t>
            </w:r>
            <w:r w:rsidR="00DA0F1D">
              <w:rPr>
                <w:color w:val="000000"/>
              </w:rPr>
              <w:t>achieving at least 1 GCSE</w:t>
            </w:r>
            <w:r w:rsidR="004C5791">
              <w:rPr>
                <w:color w:val="000000"/>
              </w:rPr>
              <w:t xml:space="preserve"> </w:t>
            </w:r>
            <w:r w:rsidR="00E65F9B">
              <w:rPr>
                <w:color w:val="000000"/>
              </w:rPr>
              <w:t>grade 1 - 9</w:t>
            </w:r>
            <w:r w:rsidR="004C5791">
              <w:rPr>
                <w:color w:val="000000"/>
              </w:rPr>
              <w:t xml:space="preserve"> or equivalent</w:t>
            </w:r>
            <w:r w:rsidR="00314C75">
              <w:rPr>
                <w:color w:val="000000"/>
              </w:rPr>
              <w:t>.</w:t>
            </w:r>
          </w:p>
          <w:p w:rsidR="008827BE" w:rsidP="00CF5C5D" w:rsidRDefault="00314C75" w14:paraId="6FBDFCBB" w14:textId="4BBA8F19">
            <w:pPr>
              <w:rPr>
                <w:color w:val="000000"/>
              </w:rPr>
            </w:pPr>
            <w:r>
              <w:rPr>
                <w:color w:val="000000"/>
              </w:rPr>
              <w:t>Equall</w:t>
            </w:r>
            <w:r w:rsidR="00FA31AC">
              <w:rPr>
                <w:color w:val="000000"/>
              </w:rPr>
              <w:t xml:space="preserve">y, the additional support contributed to an increase in the number </w:t>
            </w:r>
            <w:r w:rsidR="00B44263">
              <w:rPr>
                <w:color w:val="000000"/>
              </w:rPr>
              <w:t>of GCSE passes per pupil from 3.6 to 4.2, when comparing 2022/23 and 2023/24 outcomes.</w:t>
            </w:r>
          </w:p>
          <w:p w:rsidR="00E31BB9" w:rsidRDefault="003A3D23" w14:paraId="5D4E3720" w14:textId="05ABE037">
            <w:pPr>
              <w:rPr>
                <w:color w:val="000000"/>
              </w:rPr>
            </w:pPr>
            <w:r w:rsidRPr="00476BAD">
              <w:rPr>
                <w:color w:val="000000"/>
              </w:rPr>
              <w:t xml:space="preserve">The </w:t>
            </w:r>
            <w:r w:rsidR="00476BAD">
              <w:rPr>
                <w:color w:val="000000"/>
              </w:rPr>
              <w:t xml:space="preserve">additional capacity for mentoring </w:t>
            </w:r>
            <w:r w:rsidR="00DA47F6">
              <w:rPr>
                <w:color w:val="000000"/>
              </w:rPr>
              <w:t xml:space="preserve">was used effectively to support young people who had received </w:t>
            </w:r>
            <w:r w:rsidR="006E5BE1">
              <w:rPr>
                <w:color w:val="000000"/>
              </w:rPr>
              <w:t>a number of</w:t>
            </w:r>
            <w:r w:rsidR="00DA47F6">
              <w:rPr>
                <w:color w:val="000000"/>
              </w:rPr>
              <w:t xml:space="preserve"> fixed-term suspensions</w:t>
            </w:r>
            <w:r w:rsidR="006E5BE1">
              <w:rPr>
                <w:color w:val="000000"/>
              </w:rPr>
              <w:t xml:space="preserve"> (FTS)</w:t>
            </w:r>
            <w:r w:rsidR="00DA47F6">
              <w:rPr>
                <w:color w:val="000000"/>
              </w:rPr>
              <w:t xml:space="preserve"> </w:t>
            </w:r>
            <w:r w:rsidR="00874C5F">
              <w:rPr>
                <w:color w:val="000000"/>
              </w:rPr>
              <w:t xml:space="preserve">over the course of the autumn term </w:t>
            </w:r>
            <w:r w:rsidR="006E5BE1">
              <w:rPr>
                <w:color w:val="000000"/>
              </w:rPr>
              <w:t xml:space="preserve">2023/24 </w:t>
            </w:r>
            <w:r w:rsidR="00874C5F">
              <w:rPr>
                <w:color w:val="000000"/>
              </w:rPr>
              <w:t xml:space="preserve">to successfully re-engage with education. </w:t>
            </w:r>
            <w:r w:rsidR="00990C5A">
              <w:rPr>
                <w:color w:val="000000"/>
              </w:rPr>
              <w:t xml:space="preserve">This ensured that </w:t>
            </w:r>
            <w:r w:rsidR="00945500">
              <w:rPr>
                <w:color w:val="000000"/>
              </w:rPr>
              <w:t xml:space="preserve">our </w:t>
            </w:r>
            <w:r w:rsidR="00990C5A">
              <w:rPr>
                <w:color w:val="000000"/>
              </w:rPr>
              <w:t>Year 11 pupils</w:t>
            </w:r>
            <w:r w:rsidR="00945500">
              <w:rPr>
                <w:color w:val="000000"/>
              </w:rPr>
              <w:t xml:space="preserve"> </w:t>
            </w:r>
            <w:r w:rsidR="00C8521F">
              <w:rPr>
                <w:color w:val="000000"/>
              </w:rPr>
              <w:t xml:space="preserve">were able to secure positive outcomes and </w:t>
            </w:r>
            <w:r w:rsidR="00E31BB9">
              <w:rPr>
                <w:color w:val="000000"/>
              </w:rPr>
              <w:t>move on successful to the next steps of their educational journey.</w:t>
            </w:r>
          </w:p>
          <w:p w:rsidRPr="00BB0E59" w:rsidR="00E31BB9" w:rsidRDefault="00E31BB9" w14:paraId="18858CDB" w14:textId="0EE72D35">
            <w:pPr>
              <w:rPr>
                <w:color w:val="000000"/>
              </w:rPr>
            </w:pPr>
            <w:r w:rsidRPr="00BB0E59">
              <w:rPr>
                <w:color w:val="000000"/>
              </w:rPr>
              <w:t xml:space="preserve">The second part of our Pupil premium strategy focused on </w:t>
            </w:r>
            <w:r w:rsidRPr="00BB0E59" w:rsidR="00E900C5">
              <w:rPr>
                <w:color w:val="000000"/>
              </w:rPr>
              <w:t>ensuring the pupils had access to:</w:t>
            </w:r>
          </w:p>
          <w:p w:rsidRPr="00BB0E59" w:rsidR="008B2CE4" w:rsidP="008B2CE4" w:rsidRDefault="00E900C5" w14:paraId="4975B31D" w14:textId="0053E809">
            <w:pPr>
              <w:pStyle w:val="ListParagraph"/>
              <w:numPr>
                <w:ilvl w:val="0"/>
                <w:numId w:val="15"/>
              </w:numPr>
              <w:rPr>
                <w:color w:val="000000"/>
              </w:rPr>
            </w:pPr>
            <w:r w:rsidRPr="00BB0E59">
              <w:rPr>
                <w:color w:val="000000"/>
              </w:rPr>
              <w:t>Enrichment activities</w:t>
            </w:r>
            <w:r w:rsidR="00DB0322">
              <w:rPr>
                <w:color w:val="000000"/>
              </w:rPr>
              <w:t xml:space="preserve"> (including CIAEG)</w:t>
            </w:r>
          </w:p>
          <w:p w:rsidRPr="00BB0E59" w:rsidR="00E900C5" w:rsidP="008B2CE4" w:rsidRDefault="00E900C5" w14:paraId="0D35AF57" w14:textId="13A4B79B">
            <w:pPr>
              <w:pStyle w:val="ListParagraph"/>
              <w:numPr>
                <w:ilvl w:val="0"/>
                <w:numId w:val="15"/>
              </w:numPr>
              <w:rPr>
                <w:color w:val="000000"/>
              </w:rPr>
            </w:pPr>
            <w:r w:rsidRPr="00BB0E59">
              <w:rPr>
                <w:color w:val="000000"/>
              </w:rPr>
              <w:t>Breakfast and lunch</w:t>
            </w:r>
          </w:p>
          <w:p w:rsidR="00693B54" w:rsidRDefault="00645303" w14:paraId="18B49484" w14:textId="4D980AE7">
            <w:pPr>
              <w:rPr>
                <w:color w:val="000000"/>
              </w:rPr>
            </w:pPr>
            <w:r w:rsidRPr="00BB0E59">
              <w:rPr>
                <w:color w:val="000000"/>
              </w:rPr>
              <w:t xml:space="preserve">The impact of these activities were far-ranging and were difficult to quantify </w:t>
            </w:r>
            <w:r w:rsidRPr="00BB0E59" w:rsidR="001B68CC">
              <w:rPr>
                <w:color w:val="000000"/>
              </w:rPr>
              <w:t>in some instances. However, a</w:t>
            </w:r>
            <w:r w:rsidR="00AE0D0D">
              <w:rPr>
                <w:color w:val="000000"/>
              </w:rPr>
              <w:t>n</w:t>
            </w:r>
            <w:r w:rsidRPr="00BB0E59" w:rsidR="001B68CC">
              <w:rPr>
                <w:color w:val="000000"/>
              </w:rPr>
              <w:t xml:space="preserve"> </w:t>
            </w:r>
            <w:r w:rsidR="00E23948">
              <w:rPr>
                <w:color w:val="000000"/>
              </w:rPr>
              <w:t xml:space="preserve">analysis of </w:t>
            </w:r>
            <w:r w:rsidRPr="00BB0E59" w:rsidR="001B68CC">
              <w:rPr>
                <w:color w:val="000000"/>
              </w:rPr>
              <w:t xml:space="preserve">NEET data </w:t>
            </w:r>
            <w:r w:rsidRPr="00BB0E59" w:rsidR="00BB0E59">
              <w:rPr>
                <w:color w:val="000000"/>
              </w:rPr>
              <w:t xml:space="preserve">in 2023/24 </w:t>
            </w:r>
            <w:r w:rsidR="00BB0E59">
              <w:rPr>
                <w:color w:val="000000"/>
              </w:rPr>
              <w:t>highlights that</w:t>
            </w:r>
            <w:r w:rsidRPr="00BB0E59" w:rsidR="00BB0E59">
              <w:rPr>
                <w:color w:val="000000"/>
              </w:rPr>
              <w:t>:</w:t>
            </w:r>
          </w:p>
          <w:p w:rsidRPr="000439EA" w:rsidR="00D241EE" w:rsidP="00D933A4" w:rsidRDefault="00D933A4" w14:paraId="2A7D5546" w14:textId="61778842">
            <w:pPr>
              <w:pStyle w:val="ListParagraph"/>
              <w:numPr>
                <w:ilvl w:val="0"/>
                <w:numId w:val="16"/>
              </w:numPr>
              <w:rPr>
                <w:color w:val="000000"/>
              </w:rPr>
            </w:pPr>
            <w:r w:rsidRPr="000439EA">
              <w:rPr>
                <w:color w:val="000000"/>
              </w:rPr>
              <w:t xml:space="preserve">83% of pupils in Year 11 </w:t>
            </w:r>
            <w:r w:rsidRPr="000439EA" w:rsidR="000E5377">
              <w:rPr>
                <w:color w:val="000000"/>
              </w:rPr>
              <w:t xml:space="preserve">had a confirmed EET destination in 2023/24. An increase of </w:t>
            </w:r>
            <w:r w:rsidRPr="000439EA" w:rsidR="000439EA">
              <w:rPr>
                <w:color w:val="000000"/>
              </w:rPr>
              <w:t>37% when compared to 2022/23</w:t>
            </w:r>
            <w:r w:rsidR="000439EA">
              <w:rPr>
                <w:color w:val="000000"/>
              </w:rPr>
              <w:t>.</w:t>
            </w:r>
          </w:p>
        </w:tc>
      </w:tr>
    </w:tbl>
    <w:p w:rsidR="00E66558" w:rsidRDefault="009D71E8" w14:paraId="2A7D5548" w14:textId="77777777">
      <w:pPr>
        <w:pStyle w:val="Heading2"/>
        <w:spacing w:before="600"/>
      </w:pPr>
      <w:r>
        <w:lastRenderedPageBreak/>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EE618B" w:rsidRDefault="00EE618B" w14:paraId="2A7D554D" w14:textId="47A996F4">
            <w:pPr>
              <w:pStyle w:val="TableRow"/>
              <w:ind w:left="0"/>
            </w:pPr>
            <w:r>
              <w:t>Mentoring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E618B" w14:paraId="2A7D554E" w14:textId="2CC91589">
            <w:pPr>
              <w:pStyle w:val="TableRowCentered"/>
              <w:jc w:val="left"/>
            </w:pPr>
            <w:r>
              <w:t>Future Men</w:t>
            </w: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14:paraId="2A7D555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36D16" w14:paraId="2A7D5559" w14:textId="2AB5A9BA">
            <w:pPr>
              <w:pStyle w:val="TableRowCentered"/>
              <w:jc w:val="left"/>
            </w:pPr>
            <w:r>
              <w:t>n/a</w:t>
            </w:r>
          </w:p>
        </w:tc>
      </w:tr>
      <w:tr w:rsidR="00E66558" w14:paraId="2A7D555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436D16" w14:paraId="2A7D555C" w14:textId="2363BA8E">
            <w:pPr>
              <w:pStyle w:val="TableRowCentered"/>
              <w:jc w:val="left"/>
            </w:pPr>
            <w:r>
              <w:t>n/a</w:t>
            </w:r>
          </w:p>
        </w:tc>
      </w:tr>
      <w:bookmarkEnd w:id="17"/>
    </w:tbl>
    <w:p w:rsidR="00E66558" w:rsidRDefault="00E66558" w14:paraId="2A7D555E" w14:textId="77777777"/>
    <w:bookmarkEnd w:id="14"/>
    <w:bookmarkEnd w:id="15"/>
    <w:bookmarkEnd w:id="16"/>
    <w:p w:rsidR="00E66558" w:rsidRDefault="00E66558" w14:paraId="2A7D555F" w14:textId="77777777">
      <w:pPr>
        <w:spacing w:after="0" w:line="240" w:lineRule="auto"/>
      </w:pPr>
    </w:p>
    <w:sectPr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200C" w:rsidRDefault="00AE200C" w14:paraId="56B96AB2" w14:textId="77777777">
      <w:pPr>
        <w:spacing w:after="0" w:line="240" w:lineRule="auto"/>
      </w:pPr>
      <w:r>
        <w:separator/>
      </w:r>
    </w:p>
  </w:endnote>
  <w:endnote w:type="continuationSeparator" w:id="0">
    <w:p w:rsidR="00AE200C" w:rsidRDefault="00AE200C" w14:paraId="66C313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013"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200C" w:rsidRDefault="00AE200C" w14:paraId="2EFC7B4E" w14:textId="77777777">
      <w:pPr>
        <w:spacing w:after="0" w:line="240" w:lineRule="auto"/>
      </w:pPr>
      <w:r>
        <w:separator/>
      </w:r>
    </w:p>
  </w:footnote>
  <w:footnote w:type="continuationSeparator" w:id="0">
    <w:p w:rsidR="00AE200C" w:rsidRDefault="00AE200C" w14:paraId="22B6FC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013" w:rsidRDefault="00A10013"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F84198"/>
    <w:multiLevelType w:val="hybridMultilevel"/>
    <w:tmpl w:val="3844D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060647"/>
    <w:multiLevelType w:val="hybridMultilevel"/>
    <w:tmpl w:val="08728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E4D2A14"/>
    <w:multiLevelType w:val="hybridMultilevel"/>
    <w:tmpl w:val="0E367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0"/>
  </w:num>
  <w:num w:numId="6" w16cid:durableId="798501009">
    <w:abstractNumId w:val="8"/>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3"/>
  </w:num>
  <w:num w:numId="12" w16cid:durableId="1812097430">
    <w:abstractNumId w:val="14"/>
  </w:num>
  <w:num w:numId="13" w16cid:durableId="42288650">
    <w:abstractNumId w:val="10"/>
  </w:num>
  <w:num w:numId="14" w16cid:durableId="51273881">
    <w:abstractNumId w:val="1"/>
  </w:num>
  <w:num w:numId="15" w16cid:durableId="1299843844">
    <w:abstractNumId w:val="7"/>
  </w:num>
  <w:num w:numId="16" w16cid:durableId="1484352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7B1"/>
    <w:rsid w:val="000078CE"/>
    <w:rsid w:val="000243B4"/>
    <w:rsid w:val="000439EA"/>
    <w:rsid w:val="0004409C"/>
    <w:rsid w:val="00065C46"/>
    <w:rsid w:val="00066B73"/>
    <w:rsid w:val="000B4797"/>
    <w:rsid w:val="000C657B"/>
    <w:rsid w:val="000E5377"/>
    <w:rsid w:val="0010146A"/>
    <w:rsid w:val="0010477B"/>
    <w:rsid w:val="00120AB1"/>
    <w:rsid w:val="00140E42"/>
    <w:rsid w:val="00166132"/>
    <w:rsid w:val="00195BF4"/>
    <w:rsid w:val="001B68CC"/>
    <w:rsid w:val="001D33EA"/>
    <w:rsid w:val="00260874"/>
    <w:rsid w:val="002B351E"/>
    <w:rsid w:val="00314C75"/>
    <w:rsid w:val="00327C3E"/>
    <w:rsid w:val="00353FCD"/>
    <w:rsid w:val="0037437C"/>
    <w:rsid w:val="003A3D23"/>
    <w:rsid w:val="004044AA"/>
    <w:rsid w:val="0040749D"/>
    <w:rsid w:val="00436D16"/>
    <w:rsid w:val="004658D8"/>
    <w:rsid w:val="00476BAD"/>
    <w:rsid w:val="004C5791"/>
    <w:rsid w:val="004F0797"/>
    <w:rsid w:val="005746AD"/>
    <w:rsid w:val="005C2781"/>
    <w:rsid w:val="00634238"/>
    <w:rsid w:val="00635FBC"/>
    <w:rsid w:val="00645303"/>
    <w:rsid w:val="00663472"/>
    <w:rsid w:val="00693B54"/>
    <w:rsid w:val="0069411E"/>
    <w:rsid w:val="006A5F0A"/>
    <w:rsid w:val="006E5BE1"/>
    <w:rsid w:val="006E6B4A"/>
    <w:rsid w:val="006E7FB1"/>
    <w:rsid w:val="00741B9E"/>
    <w:rsid w:val="007675A3"/>
    <w:rsid w:val="00785923"/>
    <w:rsid w:val="007C2F04"/>
    <w:rsid w:val="007D30D5"/>
    <w:rsid w:val="0081164C"/>
    <w:rsid w:val="008522DD"/>
    <w:rsid w:val="00874C5F"/>
    <w:rsid w:val="008827BE"/>
    <w:rsid w:val="008B2CE4"/>
    <w:rsid w:val="008C408D"/>
    <w:rsid w:val="00913B9D"/>
    <w:rsid w:val="00945500"/>
    <w:rsid w:val="0097088E"/>
    <w:rsid w:val="00990C5A"/>
    <w:rsid w:val="009D71E8"/>
    <w:rsid w:val="00A10013"/>
    <w:rsid w:val="00A15F66"/>
    <w:rsid w:val="00A5641A"/>
    <w:rsid w:val="00AC0EB8"/>
    <w:rsid w:val="00AC42E6"/>
    <w:rsid w:val="00AE0D0D"/>
    <w:rsid w:val="00AE200C"/>
    <w:rsid w:val="00B44263"/>
    <w:rsid w:val="00B641E7"/>
    <w:rsid w:val="00B67838"/>
    <w:rsid w:val="00BB0E59"/>
    <w:rsid w:val="00C0499B"/>
    <w:rsid w:val="00C33745"/>
    <w:rsid w:val="00C8521F"/>
    <w:rsid w:val="00CA2F51"/>
    <w:rsid w:val="00CB7390"/>
    <w:rsid w:val="00CF5C5D"/>
    <w:rsid w:val="00CF6FC1"/>
    <w:rsid w:val="00D06874"/>
    <w:rsid w:val="00D241EE"/>
    <w:rsid w:val="00D33FE5"/>
    <w:rsid w:val="00D53379"/>
    <w:rsid w:val="00D70C27"/>
    <w:rsid w:val="00D8663E"/>
    <w:rsid w:val="00D933A4"/>
    <w:rsid w:val="00DA0F1D"/>
    <w:rsid w:val="00DA47F6"/>
    <w:rsid w:val="00DB0322"/>
    <w:rsid w:val="00E23948"/>
    <w:rsid w:val="00E31BB9"/>
    <w:rsid w:val="00E36218"/>
    <w:rsid w:val="00E4007C"/>
    <w:rsid w:val="00E65F9B"/>
    <w:rsid w:val="00E66558"/>
    <w:rsid w:val="00E900C5"/>
    <w:rsid w:val="00ED402C"/>
    <w:rsid w:val="00EE618B"/>
    <w:rsid w:val="00F667A3"/>
    <w:rsid w:val="00FA31AC"/>
    <w:rsid w:val="00FE36C2"/>
    <w:rsid w:val="0F905574"/>
    <w:rsid w:val="189C5F70"/>
    <w:rsid w:val="18E4CB6F"/>
    <w:rsid w:val="190C4EF9"/>
    <w:rsid w:val="21A94346"/>
    <w:rsid w:val="21CC8DCD"/>
    <w:rsid w:val="32957A41"/>
    <w:rsid w:val="39966068"/>
    <w:rsid w:val="43C52E96"/>
    <w:rsid w:val="4720935F"/>
    <w:rsid w:val="54937964"/>
    <w:rsid w:val="56E71AFC"/>
    <w:rsid w:val="5FE00E0E"/>
    <w:rsid w:val="69EFC199"/>
    <w:rsid w:val="6D25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uiPriority w:val="99"/>
    <w:semiHidden/>
    <w:unhideWhenUsed/>
    <w:rsid w:val="00E3621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4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b4b2c-9bf2-4735-9528-79b7c8d70286">
      <Terms xmlns="http://schemas.microsoft.com/office/infopath/2007/PartnerControls"/>
    </lcf76f155ced4ddcb4097134ff3c332f>
    <TaxCatchAll xmlns="e1f2c065-6982-4339-8c92-3e8007af92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85152AA850948AE53E4C985A0AF10" ma:contentTypeVersion="15" ma:contentTypeDescription="Create a new document." ma:contentTypeScope="" ma:versionID="3b28c3eeadebf2e547aafaed7f27fc29">
  <xsd:schema xmlns:xsd="http://www.w3.org/2001/XMLSchema" xmlns:xs="http://www.w3.org/2001/XMLSchema" xmlns:p="http://schemas.microsoft.com/office/2006/metadata/properties" xmlns:ns2="566b4b2c-9bf2-4735-9528-79b7c8d70286" xmlns:ns3="e1f2c065-6982-4339-8c92-3e8007af92e8" targetNamespace="http://schemas.microsoft.com/office/2006/metadata/properties" ma:root="true" ma:fieldsID="d619e09914e9620df23a196383537912" ns2:_="" ns3:_="">
    <xsd:import namespace="566b4b2c-9bf2-4735-9528-79b7c8d70286"/>
    <xsd:import namespace="e1f2c065-6982-4339-8c92-3e8007af9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4b2c-9bf2-4735-9528-79b7c8d7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c065-6982-4339-8c92-3e8007af92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665a43-bd2e-41b2-9f5f-622d9764fb3a}" ma:internalName="TaxCatchAll" ma:showField="CatchAllData" ma:web="e1f2c065-6982-4339-8c92-3e8007af92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B87E2-42FF-4FEF-B998-06C597B0BD8A}">
  <ds:schemaRefs>
    <ds:schemaRef ds:uri="http://schemas.microsoft.com/sharepoint/v3/contenttype/forms"/>
  </ds:schemaRefs>
</ds:datastoreItem>
</file>

<file path=customXml/itemProps2.xml><?xml version="1.0" encoding="utf-8"?>
<ds:datastoreItem xmlns:ds="http://schemas.openxmlformats.org/officeDocument/2006/customXml" ds:itemID="{D180B125-4BD4-4FC0-9E73-82122F094CF6}">
  <ds:schemaRefs>
    <ds:schemaRef ds:uri="http://schemas.microsoft.com/office/2006/metadata/properties"/>
    <ds:schemaRef ds:uri="http://schemas.microsoft.com/office/infopath/2007/PartnerControls"/>
    <ds:schemaRef ds:uri="566b4b2c-9bf2-4735-9528-79b7c8d70286"/>
    <ds:schemaRef ds:uri="e1f2c065-6982-4339-8c92-3e8007af92e8"/>
  </ds:schemaRefs>
</ds:datastoreItem>
</file>

<file path=customXml/itemProps3.xml><?xml version="1.0" encoding="utf-8"?>
<ds:datastoreItem xmlns:ds="http://schemas.openxmlformats.org/officeDocument/2006/customXml" ds:itemID="{F7C5A33F-3BCB-4A59-BB86-A6D37A92A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4b2c-9bf2-4735-9528-79b7c8d70286"/>
    <ds:schemaRef ds:uri="e1f2c065-6982-4339-8c92-3e8007af9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Grant Monaghan</lastModifiedBy>
  <revision>53</revision>
  <lastPrinted>2014-09-17T13:26:00.0000000Z</lastPrinted>
  <dcterms:created xsi:type="dcterms:W3CDTF">2024-03-17T19:46:00.0000000Z</dcterms:created>
  <dcterms:modified xsi:type="dcterms:W3CDTF">2025-01-08T09:50:24.6517270Z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0x01010094485152AA850948AE53E4C985A0AF10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